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2F3F" w14:textId="77777777" w:rsidR="0072157A" w:rsidRDefault="0072157A" w:rsidP="0072157A">
      <w:pPr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</w:rPr>
        <w:tab/>
        <w:t>BP 6190(a)</w:t>
      </w:r>
    </w:p>
    <w:p w14:paraId="025C43F4" w14:textId="77777777" w:rsidR="0072157A" w:rsidRDefault="0072157A" w:rsidP="0072157A">
      <w:pPr>
        <w:rPr>
          <w:rFonts w:eastAsia="MS Mincho"/>
          <w:sz w:val="22"/>
          <w:szCs w:val="22"/>
        </w:rPr>
      </w:pPr>
    </w:p>
    <w:p w14:paraId="28A7A6BB" w14:textId="77777777" w:rsidR="0072157A" w:rsidRDefault="0072157A" w:rsidP="0072157A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EVALUATION OF THE INSTRUCTIONAL PROGRAM</w:t>
      </w:r>
    </w:p>
    <w:p w14:paraId="14F6B17D" w14:textId="77777777" w:rsidR="0072157A" w:rsidRDefault="0072157A" w:rsidP="0072157A">
      <w:pPr>
        <w:rPr>
          <w:rFonts w:eastAsia="MS Mincho"/>
        </w:rPr>
      </w:pPr>
    </w:p>
    <w:p w14:paraId="5703BAE9" w14:textId="24DF8DA9" w:rsidR="0072157A" w:rsidRDefault="0072157A" w:rsidP="0072157A">
      <w:pPr>
        <w:rPr>
          <w:rFonts w:eastAsia="MS Mincho"/>
        </w:rPr>
      </w:pPr>
      <w:r>
        <w:rPr>
          <w:rFonts w:eastAsia="MS Mincho"/>
        </w:rPr>
        <w:t xml:space="preserve">The Governing Board recognizes that it is accountable to students, parents/guardians, and the community for the effectiveness of the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 xml:space="preserve"> educational program in meeting </w:t>
      </w:r>
      <w:r>
        <w:rPr>
          <w:rFonts w:eastAsia="MS Mincho"/>
        </w:rPr>
        <w:t>CCA</w:t>
      </w:r>
      <w:r>
        <w:rPr>
          <w:rFonts w:eastAsia="MS Mincho"/>
        </w:rPr>
        <w:t xml:space="preserve"> goals for student learning. The Executive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or designee shall conduct a continual evaluation of the curriculum and the instructional program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improve student achievement.</w:t>
      </w:r>
    </w:p>
    <w:p w14:paraId="452666D1" w14:textId="77777777" w:rsidR="0072157A" w:rsidRDefault="0072157A" w:rsidP="0072157A">
      <w:pPr>
        <w:rPr>
          <w:rFonts w:eastAsia="MS Mincho"/>
          <w:sz w:val="22"/>
          <w:szCs w:val="22"/>
        </w:rPr>
      </w:pPr>
    </w:p>
    <w:p w14:paraId="6D434886" w14:textId="2B3C620A" w:rsidR="0072157A" w:rsidRDefault="0072157A" w:rsidP="0072157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(cf. 0200 - Goals for </w:t>
      </w:r>
      <w:r>
        <w:rPr>
          <w:rFonts w:eastAsia="MS Mincho"/>
          <w:i/>
          <w:sz w:val="20"/>
        </w:rPr>
        <w:t>CCA</w:t>
      </w:r>
      <w:r>
        <w:rPr>
          <w:rFonts w:eastAsia="MS Mincho"/>
          <w:i/>
          <w:sz w:val="20"/>
        </w:rPr>
        <w:t>)</w:t>
      </w:r>
    </w:p>
    <w:p w14:paraId="49422C66" w14:textId="77777777" w:rsidR="0072157A" w:rsidRDefault="0072157A" w:rsidP="0072157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0500 - Accountability)</w:t>
      </w:r>
    </w:p>
    <w:p w14:paraId="0AAE184E" w14:textId="77777777" w:rsidR="0072157A" w:rsidRDefault="0072157A" w:rsidP="0072157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6000 - Concepts and Roles)</w:t>
      </w:r>
    </w:p>
    <w:p w14:paraId="53E7143E" w14:textId="77777777" w:rsidR="0072157A" w:rsidRDefault="0072157A" w:rsidP="0072157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9000 - Role of the Board)</w:t>
      </w:r>
    </w:p>
    <w:p w14:paraId="6300794B" w14:textId="77777777" w:rsidR="0072157A" w:rsidRDefault="0072157A" w:rsidP="0072157A">
      <w:pPr>
        <w:rPr>
          <w:rFonts w:eastAsia="MS Mincho"/>
        </w:rPr>
      </w:pPr>
    </w:p>
    <w:p w14:paraId="243A2C3B" w14:textId="3D6A7099" w:rsidR="0072157A" w:rsidRDefault="0072157A" w:rsidP="0072157A">
      <w:pPr>
        <w:rPr>
          <w:rFonts w:eastAsia="MS Mincho"/>
        </w:rPr>
      </w:pPr>
      <w:r>
        <w:rPr>
          <w:rFonts w:eastAsia="MS Mincho"/>
        </w:rPr>
        <w:t xml:space="preserve">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or </w:t>
      </w:r>
      <w:proofErr w:type="gramStart"/>
      <w:r>
        <w:rPr>
          <w:rFonts w:eastAsia="MS Mincho"/>
        </w:rPr>
        <w:t>designee</w:t>
      </w:r>
      <w:proofErr w:type="gramEnd"/>
      <w:r>
        <w:rPr>
          <w:rFonts w:eastAsia="MS Mincho"/>
        </w:rPr>
        <w:t xml:space="preserve"> shall provide the Board and the community with a biennial review and report in each area of study.  In addition, he/she shall evaluate and report data for each </w:t>
      </w:r>
      <w:r>
        <w:rPr>
          <w:rFonts w:eastAsia="MS Mincho"/>
        </w:rPr>
        <w:t>CCA</w:t>
      </w:r>
      <w:r>
        <w:rPr>
          <w:rFonts w:eastAsia="MS Mincho"/>
        </w:rPr>
        <w:t xml:space="preserve"> school and for every numerically significant subgroup of the student population, including, but not limited to, school and subgroup performance on statewide achievement indicators.</w:t>
      </w:r>
    </w:p>
    <w:p w14:paraId="66BFA22E" w14:textId="77777777" w:rsidR="0072157A" w:rsidRDefault="0072157A" w:rsidP="0072157A">
      <w:pPr>
        <w:rPr>
          <w:rFonts w:eastAsia="MS Mincho"/>
          <w:sz w:val="22"/>
          <w:szCs w:val="22"/>
        </w:rPr>
      </w:pPr>
    </w:p>
    <w:p w14:paraId="60BDBB3D" w14:textId="178B7669" w:rsidR="0072157A" w:rsidRDefault="0072157A" w:rsidP="0072157A">
      <w:pPr>
        <w:rPr>
          <w:rFonts w:eastAsia="MS Mincho"/>
        </w:rPr>
      </w:pPr>
      <w:r>
        <w:rPr>
          <w:rFonts w:eastAsia="MS Mincho"/>
        </w:rPr>
        <w:t xml:space="preserve">Based on these reports, the Board shall take appropriate actions to maintain the effectiveness of programs and to improve the quality of education that </w:t>
      </w:r>
      <w:r>
        <w:rPr>
          <w:rFonts w:eastAsia="MS Mincho"/>
        </w:rPr>
        <w:t>CCA</w:t>
      </w:r>
      <w:r>
        <w:rPr>
          <w:rFonts w:eastAsia="MS Mincho"/>
        </w:rPr>
        <w:t xml:space="preserve"> students receive.</w:t>
      </w:r>
    </w:p>
    <w:p w14:paraId="69C50F04" w14:textId="77777777" w:rsidR="0072157A" w:rsidRDefault="0072157A" w:rsidP="0072157A">
      <w:pPr>
        <w:rPr>
          <w:rFonts w:eastAsia="MS Mincho"/>
        </w:rPr>
      </w:pPr>
    </w:p>
    <w:p w14:paraId="47DDEFF5" w14:textId="77777777" w:rsidR="0072157A" w:rsidRDefault="0072157A" w:rsidP="0072157A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Western Association of Schools and Colleges (WASC) Accreditation</w:t>
      </w:r>
    </w:p>
    <w:p w14:paraId="284B6C3D" w14:textId="77777777" w:rsidR="0072157A" w:rsidRDefault="0072157A" w:rsidP="0072157A">
      <w:pPr>
        <w:rPr>
          <w:rFonts w:eastAsia="MS Mincho"/>
        </w:rPr>
      </w:pPr>
    </w:p>
    <w:p w14:paraId="708418A7" w14:textId="2F8C16E9" w:rsidR="0072157A" w:rsidRDefault="0072157A" w:rsidP="0072157A">
      <w:pPr>
        <w:rPr>
          <w:rFonts w:eastAsia="MS Mincho"/>
        </w:rPr>
      </w:pPr>
      <w:r>
        <w:rPr>
          <w:rFonts w:eastAsia="MS Mincho"/>
        </w:rPr>
        <w:t xml:space="preserve">The Board believes that accreditation by the Western Association of Schools and Colleges (WASC) can foster excellence and ongoing academic improvement in </w:t>
      </w:r>
      <w:r>
        <w:rPr>
          <w:rFonts w:eastAsia="MS Mincho"/>
        </w:rPr>
        <w:t>CCA</w:t>
      </w:r>
      <w:r>
        <w:rPr>
          <w:rFonts w:eastAsia="MS Mincho"/>
        </w:rPr>
        <w:t xml:space="preserve">. The results of the accreditation process also may demonstrate to parents/guardians and the community that </w:t>
      </w:r>
      <w:r>
        <w:rPr>
          <w:rFonts w:eastAsia="MS Mincho"/>
        </w:rPr>
        <w:t>CCA</w:t>
      </w:r>
      <w:r>
        <w:rPr>
          <w:rFonts w:eastAsia="MS Mincho"/>
        </w:rPr>
        <w:t xml:space="preserve"> is meeting their goals and objectives and the WASC criteria for school effectiveness through a viable instructional program.</w:t>
      </w:r>
    </w:p>
    <w:p w14:paraId="16B2BD3A" w14:textId="77777777" w:rsidR="0072157A" w:rsidRDefault="0072157A" w:rsidP="0072157A">
      <w:pPr>
        <w:rPr>
          <w:rFonts w:eastAsia="MS Mincho"/>
        </w:rPr>
      </w:pPr>
    </w:p>
    <w:p w14:paraId="6212059A" w14:textId="3F5978A0" w:rsidR="0072157A" w:rsidRDefault="0072157A" w:rsidP="0072157A">
      <w:pPr>
        <w:rPr>
          <w:rFonts w:eastAsia="MS Mincho"/>
        </w:rPr>
      </w:pPr>
      <w:r>
        <w:rPr>
          <w:rFonts w:eastAsia="MS Mincho"/>
        </w:rPr>
        <w:t xml:space="preserve">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or designee shall undertake procedures whereby </w:t>
      </w:r>
      <w:r>
        <w:rPr>
          <w:rFonts w:eastAsia="MS Mincho"/>
        </w:rPr>
        <w:t>CCA</w:t>
      </w:r>
      <w:r>
        <w:rPr>
          <w:rFonts w:eastAsia="MS Mincho"/>
        </w:rPr>
        <w:t xml:space="preserve"> may achieve and maintain full WASC accreditation status. </w:t>
      </w:r>
      <w:r>
        <w:rPr>
          <w:rFonts w:eastAsia="MS Mincho"/>
        </w:rPr>
        <w:t>CCA</w:t>
      </w:r>
      <w:r>
        <w:rPr>
          <w:rFonts w:eastAsia="MS Mincho"/>
        </w:rPr>
        <w:t xml:space="preserve"> shall conduct a self-study in accordance with WASC requirements, cooperate with the WASC committee during a site visit, and develop and review action plans to increase the effectiveness of the instructional program for students. 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or designee shall regularly report to the Board on the status of </w:t>
      </w:r>
      <w:r>
        <w:rPr>
          <w:rFonts w:eastAsia="MS Mincho"/>
        </w:rPr>
        <w:t>CCA’s</w:t>
      </w:r>
      <w:r>
        <w:rPr>
          <w:rFonts w:eastAsia="MS Mincho"/>
        </w:rPr>
        <w:t xml:space="preserve"> strategic action plan and any WASC recommendations for improvement.</w:t>
      </w:r>
    </w:p>
    <w:p w14:paraId="686DD33D" w14:textId="77777777" w:rsidR="0072157A" w:rsidRDefault="0072157A" w:rsidP="0072157A">
      <w:pPr>
        <w:rPr>
          <w:rFonts w:eastAsia="MS Mincho"/>
        </w:rPr>
      </w:pPr>
    </w:p>
    <w:p w14:paraId="584DB362" w14:textId="10C0A630" w:rsidR="0072157A" w:rsidRDefault="0072157A" w:rsidP="0072157A">
      <w:r>
        <w:t xml:space="preserve">The results of any inspection by WASC, or any other </w:t>
      </w:r>
      <w:r>
        <w:t>a</w:t>
      </w:r>
      <w:r>
        <w:t xml:space="preserve">ccrediting agency, shall be published not later than 60 days after the results are made available.  Publication shall be by notifying each parent/guardian in writing and/or by posting the information on </w:t>
      </w:r>
      <w:r>
        <w:t>CCA’s</w:t>
      </w:r>
      <w:r>
        <w:t xml:space="preserve"> web site, as determined by the </w:t>
      </w:r>
      <w:r>
        <w:t>Executive Director</w:t>
      </w:r>
      <w:r>
        <w:t xml:space="preserve"> or </w:t>
      </w:r>
      <w:proofErr w:type="gramStart"/>
      <w:r>
        <w:t>designee</w:t>
      </w:r>
      <w:proofErr w:type="gramEnd"/>
      <w:r>
        <w:t>.  (Education Code 35178.4)</w:t>
      </w:r>
    </w:p>
    <w:p w14:paraId="37E7A9D8" w14:textId="77777777" w:rsidR="0072157A" w:rsidRDefault="0072157A" w:rsidP="0072157A">
      <w:pPr>
        <w:rPr>
          <w:rFonts w:eastAsia="MS Mincho"/>
        </w:rPr>
      </w:pPr>
    </w:p>
    <w:p w14:paraId="4D6B84E1" w14:textId="142F922D" w:rsidR="0072157A" w:rsidRDefault="0072157A" w:rsidP="0072157A">
      <w:pPr>
        <w:jc w:val="left"/>
        <w:rPr>
          <w:rFonts w:eastAsia="MS Mincho"/>
          <w:i/>
          <w:sz w:val="20"/>
          <w:lang w:val="fr-FR"/>
        </w:rPr>
      </w:pPr>
      <w:r>
        <w:rPr>
          <w:rFonts w:eastAsia="MS Mincho"/>
          <w:i/>
          <w:sz w:val="20"/>
          <w:lang w:val="fr-FR"/>
        </w:rPr>
        <w:t>(</w:t>
      </w:r>
      <w:proofErr w:type="gramStart"/>
      <w:r>
        <w:rPr>
          <w:rFonts w:eastAsia="MS Mincho"/>
          <w:i/>
          <w:sz w:val="20"/>
          <w:lang w:val="fr-FR"/>
        </w:rPr>
        <w:t>cf.</w:t>
      </w:r>
      <w:proofErr w:type="gramEnd"/>
      <w:r>
        <w:rPr>
          <w:rFonts w:eastAsia="MS Mincho"/>
          <w:i/>
          <w:sz w:val="20"/>
          <w:lang w:val="fr-FR"/>
        </w:rPr>
        <w:t xml:space="preserve"> 1113 </w:t>
      </w:r>
      <w:r w:rsidR="00972BC6">
        <w:rPr>
          <w:rFonts w:eastAsia="MS Mincho"/>
          <w:i/>
          <w:sz w:val="20"/>
          <w:lang w:val="fr-FR"/>
        </w:rPr>
        <w:t>CCA</w:t>
      </w:r>
      <w:r>
        <w:rPr>
          <w:rFonts w:eastAsia="MS Mincho"/>
          <w:i/>
          <w:sz w:val="20"/>
          <w:lang w:val="fr-FR"/>
        </w:rPr>
        <w:t xml:space="preserve"> Web Site)</w:t>
      </w:r>
    </w:p>
    <w:p w14:paraId="151BE40B" w14:textId="77777777" w:rsidR="0072157A" w:rsidRDefault="0072157A" w:rsidP="0072157A">
      <w:pPr>
        <w:rPr>
          <w:rFonts w:eastAsia="MS Mincho"/>
        </w:rPr>
      </w:pPr>
    </w:p>
    <w:p w14:paraId="6A0842E6" w14:textId="77777777" w:rsidR="0072157A" w:rsidRDefault="0072157A" w:rsidP="0072157A">
      <w:pPr>
        <w:rPr>
          <w:rFonts w:eastAsia="MS Mincho"/>
        </w:rPr>
      </w:pPr>
    </w:p>
    <w:p w14:paraId="3AFAD5C1" w14:textId="77777777" w:rsidR="00972BC6" w:rsidRDefault="0072157A" w:rsidP="0072157A">
      <w:pPr>
        <w:rPr>
          <w:rFonts w:eastAsia="MS Mincho"/>
        </w:rPr>
      </w:pPr>
      <w:r>
        <w:rPr>
          <w:rFonts w:eastAsia="MS Mincho"/>
        </w:rPr>
        <w:tab/>
      </w:r>
    </w:p>
    <w:p w14:paraId="1607BB5E" w14:textId="77777777" w:rsidR="00972BC6" w:rsidRDefault="00972BC6" w:rsidP="0072157A">
      <w:pPr>
        <w:rPr>
          <w:rFonts w:eastAsia="MS Mincho"/>
        </w:rPr>
      </w:pPr>
    </w:p>
    <w:p w14:paraId="1CC3E29C" w14:textId="41ABB4BA" w:rsidR="0072157A" w:rsidRDefault="00972BC6" w:rsidP="0072157A">
      <w:pPr>
        <w:rPr>
          <w:rFonts w:eastAsia="MS Mincho"/>
        </w:rPr>
      </w:pPr>
      <w:r>
        <w:rPr>
          <w:rFonts w:eastAsia="MS Mincho"/>
        </w:rPr>
        <w:lastRenderedPageBreak/>
        <w:tab/>
      </w:r>
      <w:r w:rsidR="0072157A">
        <w:rPr>
          <w:rFonts w:eastAsia="MS Mincho"/>
        </w:rPr>
        <w:t>BP 6190(b)</w:t>
      </w:r>
    </w:p>
    <w:p w14:paraId="269DB905" w14:textId="77777777" w:rsidR="0072157A" w:rsidRDefault="0072157A" w:rsidP="0072157A">
      <w:pPr>
        <w:rPr>
          <w:rFonts w:eastAsia="MS Mincho"/>
        </w:rPr>
      </w:pPr>
    </w:p>
    <w:p w14:paraId="0BCFA945" w14:textId="77777777" w:rsidR="0072157A" w:rsidRDefault="0072157A" w:rsidP="0072157A">
      <w:pPr>
        <w:rPr>
          <w:rFonts w:eastAsia="MS Mincho"/>
        </w:rPr>
      </w:pPr>
      <w:r>
        <w:rPr>
          <w:rFonts w:eastAsia="MS Mincho"/>
          <w:b/>
          <w:bCs/>
        </w:rPr>
        <w:t xml:space="preserve">EVALUATION OF THE INSTRUCTIONAL </w:t>
      </w:r>
      <w:proofErr w:type="gramStart"/>
      <w:r>
        <w:rPr>
          <w:rFonts w:eastAsia="MS Mincho"/>
          <w:b/>
          <w:bCs/>
        </w:rPr>
        <w:t>PROGRAM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14:paraId="0BA76F58" w14:textId="77777777" w:rsidR="0072157A" w:rsidRDefault="0072157A" w:rsidP="0072157A">
      <w:pPr>
        <w:rPr>
          <w:rFonts w:eastAsia="MS Mincho"/>
        </w:rPr>
      </w:pPr>
    </w:p>
    <w:p w14:paraId="31672FB4" w14:textId="0D98CF51" w:rsidR="0072157A" w:rsidRDefault="0072157A" w:rsidP="0072157A">
      <w:pPr>
        <w:rPr>
          <w:rFonts w:eastAsia="MS Mincho"/>
        </w:rPr>
      </w:pPr>
      <w:r>
        <w:rPr>
          <w:rFonts w:eastAsia="MS Mincho"/>
        </w:rPr>
        <w:t xml:space="preserve">If </w:t>
      </w:r>
      <w:r>
        <w:rPr>
          <w:rFonts w:eastAsia="MS Mincho"/>
        </w:rPr>
        <w:t>CCA</w:t>
      </w:r>
      <w:r>
        <w:rPr>
          <w:rFonts w:eastAsia="MS Mincho"/>
        </w:rPr>
        <w:t xml:space="preserve"> loses its accreditation status, the Board shall give official notice at a regularly scheduled Board meeting. 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or designee shall provide written notification to each parent/guardian of a student in the school that the school has lost its accreditation status, including the potential consequences of the loss of accreditation status. </w:t>
      </w:r>
      <w:r>
        <w:t xml:space="preserve">This notice shall also be posted on </w:t>
      </w:r>
      <w:r>
        <w:t>CCA’s</w:t>
      </w:r>
      <w:r>
        <w:t xml:space="preserve"> web site.</w:t>
      </w:r>
      <w:r>
        <w:rPr>
          <w:rFonts w:eastAsia="MS Mincho"/>
          <w:lang w:val="fr-FR"/>
        </w:rPr>
        <w:t xml:space="preserve"> (Education Code 35178.4)</w:t>
      </w:r>
    </w:p>
    <w:p w14:paraId="7EDC2993" w14:textId="77777777" w:rsidR="0072157A" w:rsidRDefault="0072157A" w:rsidP="0072157A">
      <w:pPr>
        <w:jc w:val="left"/>
        <w:rPr>
          <w:rFonts w:eastAsia="MS Mincho"/>
          <w:i/>
        </w:rPr>
      </w:pPr>
    </w:p>
    <w:p w14:paraId="5F33E88F" w14:textId="77777777" w:rsidR="0072157A" w:rsidRDefault="0072157A" w:rsidP="0072157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656D8F09" w14:textId="77777777" w:rsidR="0072157A" w:rsidRDefault="0072157A" w:rsidP="0072157A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37154B59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33400-</w:t>
      </w:r>
      <w:proofErr w:type="gramStart"/>
      <w:r>
        <w:rPr>
          <w:rFonts w:eastAsia="MS Mincho"/>
          <w:i/>
          <w:sz w:val="20"/>
        </w:rPr>
        <w:t>33407  Educational</w:t>
      </w:r>
      <w:proofErr w:type="gramEnd"/>
      <w:r>
        <w:rPr>
          <w:rFonts w:eastAsia="MS Mincho"/>
          <w:i/>
          <w:sz w:val="20"/>
        </w:rPr>
        <w:t xml:space="preserve"> evaluations</w:t>
      </w:r>
    </w:p>
    <w:p w14:paraId="46F87192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35178.4  Notice</w:t>
      </w:r>
      <w:proofErr w:type="gramEnd"/>
      <w:r>
        <w:rPr>
          <w:rFonts w:eastAsia="MS Mincho"/>
          <w:i/>
          <w:sz w:val="20"/>
        </w:rPr>
        <w:t xml:space="preserve"> of accreditation status</w:t>
      </w:r>
    </w:p>
    <w:p w14:paraId="4429B885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44662  Evaluation</w:t>
      </w:r>
      <w:proofErr w:type="gramEnd"/>
      <w:r>
        <w:rPr>
          <w:rFonts w:eastAsia="MS Mincho"/>
          <w:i/>
          <w:sz w:val="20"/>
        </w:rPr>
        <w:t xml:space="preserve"> and assessment guidelines, certificated employee performance</w:t>
      </w:r>
    </w:p>
    <w:p w14:paraId="0F988EED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48985  Compliance</w:t>
      </w:r>
      <w:proofErr w:type="gramEnd"/>
      <w:r>
        <w:rPr>
          <w:rFonts w:eastAsia="MS Mincho"/>
          <w:i/>
          <w:sz w:val="20"/>
        </w:rPr>
        <w:t xml:space="preserve"> with translation of parental notifications</w:t>
      </w:r>
    </w:p>
    <w:p w14:paraId="6AAFCDF2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51041  Education</w:t>
      </w:r>
      <w:proofErr w:type="gramEnd"/>
      <w:r>
        <w:rPr>
          <w:rFonts w:eastAsia="MS Mincho"/>
          <w:i/>
          <w:sz w:val="20"/>
        </w:rPr>
        <w:t xml:space="preserve"> program, evaluation and revisions</w:t>
      </w:r>
    </w:p>
    <w:p w14:paraId="757CB16D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51226  Model</w:t>
      </w:r>
      <w:proofErr w:type="gramEnd"/>
      <w:r>
        <w:rPr>
          <w:rFonts w:eastAsia="MS Mincho"/>
          <w:i/>
          <w:sz w:val="20"/>
        </w:rPr>
        <w:t xml:space="preserve"> curriculum standards</w:t>
      </w:r>
    </w:p>
    <w:p w14:paraId="4BAF8DBF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52050-</w:t>
      </w:r>
      <w:proofErr w:type="gramStart"/>
      <w:r>
        <w:rPr>
          <w:rFonts w:eastAsia="MS Mincho"/>
          <w:i/>
          <w:sz w:val="20"/>
        </w:rPr>
        <w:t>52059  Public</w:t>
      </w:r>
      <w:proofErr w:type="gramEnd"/>
      <w:r>
        <w:rPr>
          <w:rFonts w:eastAsia="MS Mincho"/>
          <w:i/>
          <w:sz w:val="20"/>
        </w:rPr>
        <w:t xml:space="preserve"> Schools Accountability Act</w:t>
      </w:r>
    </w:p>
    <w:p w14:paraId="28DDA8A3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54650-</w:t>
      </w:r>
      <w:proofErr w:type="gramStart"/>
      <w:r>
        <w:rPr>
          <w:rFonts w:eastAsia="MS Mincho"/>
          <w:i/>
          <w:sz w:val="20"/>
        </w:rPr>
        <w:t>54659  Education</w:t>
      </w:r>
      <w:proofErr w:type="gramEnd"/>
      <w:r>
        <w:rPr>
          <w:rFonts w:eastAsia="MS Mincho"/>
          <w:i/>
          <w:sz w:val="20"/>
        </w:rPr>
        <w:t xml:space="preserve"> Improvement Incentive Program</w:t>
      </w:r>
    </w:p>
    <w:p w14:paraId="5A9B3D4B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62005.5  Failure</w:t>
      </w:r>
      <w:proofErr w:type="gramEnd"/>
      <w:r>
        <w:rPr>
          <w:rFonts w:eastAsia="MS Mincho"/>
          <w:i/>
          <w:sz w:val="20"/>
        </w:rPr>
        <w:t xml:space="preserve"> to comply with purposes of funds</w:t>
      </w:r>
    </w:p>
    <w:p w14:paraId="108B5C69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64000-</w:t>
      </w:r>
      <w:proofErr w:type="gramStart"/>
      <w:r>
        <w:rPr>
          <w:rFonts w:eastAsia="MS Mincho"/>
          <w:i/>
          <w:sz w:val="20"/>
        </w:rPr>
        <w:t>64001  Consolidated</w:t>
      </w:r>
      <w:proofErr w:type="gramEnd"/>
      <w:r>
        <w:rPr>
          <w:rFonts w:eastAsia="MS Mincho"/>
          <w:i/>
          <w:sz w:val="20"/>
        </w:rPr>
        <w:t xml:space="preserve"> application process</w:t>
      </w:r>
    </w:p>
    <w:p w14:paraId="4D64ECC7" w14:textId="77777777" w:rsidR="0072157A" w:rsidRDefault="0072157A" w:rsidP="0072157A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33DC76D2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3930-</w:t>
      </w:r>
      <w:proofErr w:type="gramStart"/>
      <w:r>
        <w:rPr>
          <w:rFonts w:eastAsia="MS Mincho"/>
          <w:i/>
          <w:sz w:val="20"/>
        </w:rPr>
        <w:t>3937  Program</w:t>
      </w:r>
      <w:proofErr w:type="gramEnd"/>
      <w:r>
        <w:rPr>
          <w:rFonts w:eastAsia="MS Mincho"/>
          <w:i/>
          <w:sz w:val="20"/>
        </w:rPr>
        <w:t xml:space="preserve"> requirements</w:t>
      </w:r>
    </w:p>
    <w:p w14:paraId="2BC718AD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3942  Continuity</w:t>
      </w:r>
      <w:proofErr w:type="gramEnd"/>
      <w:r>
        <w:rPr>
          <w:rFonts w:eastAsia="MS Mincho"/>
          <w:i/>
          <w:sz w:val="20"/>
        </w:rPr>
        <w:t xml:space="preserve"> of funding</w:t>
      </w:r>
    </w:p>
    <w:p w14:paraId="100A7C24" w14:textId="77777777" w:rsidR="0072157A" w:rsidRDefault="0072157A" w:rsidP="0072157A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20</w:t>
      </w:r>
    </w:p>
    <w:p w14:paraId="7D493C01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6311  Adequate</w:t>
      </w:r>
      <w:proofErr w:type="gramEnd"/>
      <w:r>
        <w:rPr>
          <w:rFonts w:eastAsia="MS Mincho"/>
          <w:i/>
          <w:sz w:val="20"/>
        </w:rPr>
        <w:t xml:space="preserve"> yearly progress</w:t>
      </w:r>
    </w:p>
    <w:p w14:paraId="14488E39" w14:textId="77777777" w:rsidR="0072157A" w:rsidRDefault="0072157A" w:rsidP="0072157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3E84D1C9" w14:textId="77777777" w:rsidR="0072157A" w:rsidRDefault="0072157A" w:rsidP="0072157A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CSBA PUBLICATIONS</w:t>
      </w:r>
    </w:p>
    <w:p w14:paraId="0870E4E3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Maximizing School Board Leadership: Curriculum</w:t>
      </w:r>
      <w:r>
        <w:rPr>
          <w:rFonts w:eastAsia="MS Mincho"/>
          <w:i/>
          <w:sz w:val="20"/>
        </w:rPr>
        <w:t>, 1996</w:t>
      </w:r>
    </w:p>
    <w:p w14:paraId="6E099C46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CALIFORNIA DEPARTMENT OF EDUCATION PUBLICATIONS</w:t>
      </w:r>
    </w:p>
    <w:p w14:paraId="01BD1209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Ongoing Program Self-Evaluation Tools (OPSET)</w:t>
      </w:r>
    </w:p>
    <w:p w14:paraId="4D698643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Categorical Program Monitoring Instruments</w:t>
      </w:r>
    </w:p>
    <w:p w14:paraId="64508B83" w14:textId="77777777" w:rsidR="0072157A" w:rsidRDefault="0072157A" w:rsidP="0072157A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010502E6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CSBA:  http://www.csba.org</w:t>
      </w:r>
    </w:p>
    <w:p w14:paraId="384CF105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California Department of Education, Testing and Accountability: http://www.cde.ca.gov/ta</w:t>
      </w:r>
    </w:p>
    <w:p w14:paraId="7AC720E2" w14:textId="77777777" w:rsidR="0072157A" w:rsidRDefault="0072157A" w:rsidP="0072157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Western Association of Schools and Colleges (WASC), Accrediting Commission for Schools: http://www.acswasc.org</w:t>
      </w:r>
    </w:p>
    <w:p w14:paraId="44458220" w14:textId="77777777" w:rsidR="0072157A" w:rsidRDefault="0072157A" w:rsidP="0072157A">
      <w:pPr>
        <w:rPr>
          <w:rFonts w:eastAsia="MS Mincho"/>
        </w:rPr>
      </w:pPr>
    </w:p>
    <w:p w14:paraId="399DE190" w14:textId="77777777" w:rsidR="0072157A" w:rsidRDefault="0072157A" w:rsidP="0072157A">
      <w:pPr>
        <w:rPr>
          <w:rFonts w:eastAsia="MS Mincho"/>
        </w:rPr>
      </w:pPr>
    </w:p>
    <w:p w14:paraId="7D02B889" w14:textId="77777777" w:rsidR="0072157A" w:rsidRDefault="0072157A" w:rsidP="0072157A">
      <w:pPr>
        <w:rPr>
          <w:rFonts w:eastAsia="MS Mincho"/>
        </w:rPr>
      </w:pPr>
    </w:p>
    <w:p w14:paraId="5E202AC3" w14:textId="77777777" w:rsidR="0072157A" w:rsidRDefault="0072157A" w:rsidP="0072157A">
      <w:pPr>
        <w:rPr>
          <w:rFonts w:eastAsia="MS Mincho"/>
        </w:rPr>
      </w:pPr>
    </w:p>
    <w:p w14:paraId="78E32647" w14:textId="77777777" w:rsidR="0072157A" w:rsidRDefault="0072157A" w:rsidP="0072157A">
      <w:pPr>
        <w:rPr>
          <w:rFonts w:eastAsia="MS Mincho"/>
        </w:rPr>
      </w:pPr>
    </w:p>
    <w:p w14:paraId="21AF4C6D" w14:textId="77777777" w:rsidR="0072157A" w:rsidRDefault="0072157A" w:rsidP="0072157A">
      <w:pPr>
        <w:rPr>
          <w:rFonts w:eastAsia="MS Mincho"/>
        </w:rPr>
      </w:pPr>
    </w:p>
    <w:p w14:paraId="5648F4B8" w14:textId="77777777" w:rsidR="0072157A" w:rsidRDefault="0072157A" w:rsidP="0072157A">
      <w:pPr>
        <w:rPr>
          <w:rFonts w:eastAsia="MS Mincho"/>
        </w:rPr>
      </w:pPr>
    </w:p>
    <w:p w14:paraId="3D40713F" w14:textId="77777777" w:rsidR="0072157A" w:rsidRDefault="0072157A" w:rsidP="0072157A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2157A" w14:paraId="74A896F6" w14:textId="77777777" w:rsidTr="0072157A">
        <w:tc>
          <w:tcPr>
            <w:tcW w:w="4675" w:type="dxa"/>
          </w:tcPr>
          <w:p w14:paraId="59CFC06C" w14:textId="77777777" w:rsidR="0072157A" w:rsidRDefault="0072157A" w:rsidP="0072157A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072FD95A" w14:textId="35CE5854" w:rsidR="0072157A" w:rsidRDefault="0072157A" w:rsidP="0072157A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16, 2008</w:t>
            </w:r>
          </w:p>
          <w:p w14:paraId="7940AB46" w14:textId="7951ECF3" w:rsidR="0072157A" w:rsidRDefault="0072157A" w:rsidP="0072157A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28, 2024</w:t>
            </w:r>
          </w:p>
        </w:tc>
        <w:tc>
          <w:tcPr>
            <w:tcW w:w="4675" w:type="dxa"/>
          </w:tcPr>
          <w:p w14:paraId="3F513935" w14:textId="77777777" w:rsidR="0072157A" w:rsidRPr="0072157A" w:rsidRDefault="0072157A" w:rsidP="0072157A">
            <w:pPr>
              <w:jc w:val="right"/>
              <w:rPr>
                <w:rFonts w:eastAsia="MS Mincho"/>
                <w:b/>
                <w:bCs/>
              </w:rPr>
            </w:pPr>
            <w:r w:rsidRPr="0072157A">
              <w:rPr>
                <w:rFonts w:eastAsia="MS Mincho"/>
                <w:b/>
                <w:bCs/>
              </w:rPr>
              <w:t>COLLEGE AND CAREER ADVANTAGE</w:t>
            </w:r>
          </w:p>
          <w:p w14:paraId="40F791FE" w14:textId="048D8E07" w:rsidR="0072157A" w:rsidRDefault="0072157A" w:rsidP="0072157A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52B0FC62" w14:textId="77777777" w:rsidR="0072157A" w:rsidRDefault="0072157A" w:rsidP="0072157A">
      <w:pPr>
        <w:rPr>
          <w:rFonts w:eastAsia="MS Mincho"/>
        </w:rPr>
      </w:pPr>
    </w:p>
    <w:sectPr w:rsidR="0072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A"/>
    <w:rsid w:val="000F231F"/>
    <w:rsid w:val="0072157A"/>
    <w:rsid w:val="00972BC6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0D0D"/>
  <w15:chartTrackingRefBased/>
  <w15:docId w15:val="{1AA5FCCB-C994-4523-B8E8-B774B6C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7A"/>
    <w:pPr>
      <w:tabs>
        <w:tab w:val="right" w:pos="9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57A"/>
    <w:pPr>
      <w:keepNext/>
      <w:keepLines/>
      <w:tabs>
        <w:tab w:val="clear" w:pos="9000"/>
      </w:tabs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57A"/>
    <w:pPr>
      <w:keepNext/>
      <w:keepLines/>
      <w:tabs>
        <w:tab w:val="clear" w:pos="9000"/>
      </w:tabs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57A"/>
    <w:pPr>
      <w:tabs>
        <w:tab w:val="clear" w:pos="9000"/>
      </w:tabs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57A"/>
    <w:pPr>
      <w:numPr>
        <w:ilvl w:val="1"/>
      </w:numPr>
      <w:tabs>
        <w:tab w:val="clear" w:pos="9000"/>
      </w:tabs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57A"/>
    <w:pPr>
      <w:tabs>
        <w:tab w:val="clear" w:pos="9000"/>
      </w:tabs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1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57A"/>
    <w:pPr>
      <w:tabs>
        <w:tab w:val="clear" w:pos="9000"/>
      </w:tabs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1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9000"/>
      </w:tabs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5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2024-02-09T17:51:00Z</dcterms:created>
  <dcterms:modified xsi:type="dcterms:W3CDTF">2024-02-09T18:05:00Z</dcterms:modified>
</cp:coreProperties>
</file>